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5850"/>
        <w:gridCol w:w="5670"/>
      </w:tblGrid>
      <w:tr w:rsidR="00FE0034" w:rsidTr="00FE0034">
        <w:tc>
          <w:tcPr>
            <w:tcW w:w="5850" w:type="dxa"/>
          </w:tcPr>
          <w:p w:rsidR="00FE0034" w:rsidRDefault="00FE0034">
            <w:r>
              <w:t xml:space="preserve">Connections and Summary </w:t>
            </w:r>
          </w:p>
        </w:tc>
        <w:tc>
          <w:tcPr>
            <w:tcW w:w="5670" w:type="dxa"/>
          </w:tcPr>
          <w:p w:rsidR="00FE0034" w:rsidRDefault="00FE0034">
            <w:r>
              <w:t xml:space="preserve">Highlight People, Places and Vocabulary </w:t>
            </w:r>
          </w:p>
          <w:p w:rsidR="00FE0034" w:rsidRDefault="00FE0034">
            <w:r>
              <w:t xml:space="preserve">Chapter 6 Section 1 p.1 </w:t>
            </w:r>
          </w:p>
        </w:tc>
      </w:tr>
      <w:tr w:rsidR="00FE0034" w:rsidTr="00FE0034">
        <w:tc>
          <w:tcPr>
            <w:tcW w:w="5850" w:type="dxa"/>
          </w:tcPr>
          <w:p w:rsidR="00FE0034" w:rsidRDefault="00FE0034">
            <w:r>
              <w:t>1. Vocabulary: (4)</w:t>
            </w:r>
          </w:p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>
            <w:r>
              <w:t xml:space="preserve">2. Significant Points : (4) </w:t>
            </w:r>
          </w:p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>
            <w:r>
              <w:t>3. Image (2)</w:t>
            </w:r>
          </w:p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9C4C89" w:rsidRDefault="00FE0034">
            <w:r>
              <w:t xml:space="preserve">4. Question: What is the difference between Universalizing Religions and Ethnic Religions? What problem do Geographers have in distinguishing religions into either of these categories? </w:t>
            </w:r>
          </w:p>
          <w:p w:rsidR="009C4C89" w:rsidRDefault="009C4C89"/>
          <w:p w:rsidR="009C4C89" w:rsidRDefault="009C4C89"/>
          <w:p w:rsidR="009C4C89" w:rsidRDefault="009C4C89"/>
          <w:p w:rsidR="009C4C89" w:rsidRDefault="009C4C89"/>
          <w:p w:rsidR="009C4C89" w:rsidRDefault="009C4C89"/>
          <w:p w:rsidR="009C4C89" w:rsidRDefault="009C4C89"/>
          <w:p w:rsidR="009C4C89" w:rsidRDefault="009C4C89"/>
          <w:p w:rsidR="009C4C89" w:rsidRDefault="009C4C89"/>
          <w:p w:rsidR="009C4C89" w:rsidRDefault="009C4C89"/>
          <w:p w:rsidR="009C4C89" w:rsidRDefault="009C4C89"/>
          <w:p w:rsidR="00FE0034" w:rsidRDefault="009C4C89">
            <w:r>
              <w:t xml:space="preserve">5. </w:t>
            </w:r>
            <w:r w:rsidR="00FE0034">
              <w:t xml:space="preserve"> </w:t>
            </w:r>
            <w:r>
              <w:t xml:space="preserve">Opinion: Are Americans more Agnostic or Atheist? </w:t>
            </w:r>
            <w:bookmarkStart w:id="0" w:name="_GoBack"/>
            <w:bookmarkEnd w:id="0"/>
            <w:r>
              <w:t xml:space="preserve"> </w:t>
            </w:r>
          </w:p>
          <w:p w:rsidR="00FE0034" w:rsidRDefault="00FE0034"/>
          <w:p w:rsidR="00FE0034" w:rsidRDefault="00FE0034"/>
          <w:p w:rsidR="00FE0034" w:rsidRDefault="00FE0034"/>
        </w:tc>
        <w:tc>
          <w:tcPr>
            <w:tcW w:w="5670" w:type="dxa"/>
          </w:tcPr>
          <w:p w:rsidR="00000000" w:rsidRPr="00FE0034" w:rsidRDefault="009C4C89" w:rsidP="00FE0034">
            <w:pPr>
              <w:rPr>
                <w:sz w:val="18"/>
                <w:szCs w:val="18"/>
                <w:u w:val="single"/>
              </w:rPr>
            </w:pPr>
            <w:r w:rsidRPr="00FE0034">
              <w:rPr>
                <w:sz w:val="18"/>
                <w:szCs w:val="18"/>
                <w:u w:val="single"/>
              </w:rPr>
              <w:lastRenderedPageBreak/>
              <w:t xml:space="preserve">Where Are the World’s Religions Distributed? </w:t>
            </w:r>
          </w:p>
          <w:p w:rsidR="00000000" w:rsidRPr="00FE0034" w:rsidRDefault="009C4C89" w:rsidP="00FE003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Intro: </w:t>
            </w:r>
            <w:r w:rsidRPr="00FE0034">
              <w:rPr>
                <w:sz w:val="18"/>
                <w:szCs w:val="18"/>
              </w:rPr>
              <w:br/>
              <w:t xml:space="preserve">Religion like language can be a source of pride and a means of identification. </w:t>
            </w:r>
          </w:p>
          <w:p w:rsidR="00000000" w:rsidRPr="00FE0034" w:rsidRDefault="009C4C89" w:rsidP="00FE003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As with language migrants take their religion with them to new loc</w:t>
            </w:r>
            <w:r w:rsidRPr="00FE0034">
              <w:rPr>
                <w:sz w:val="18"/>
                <w:szCs w:val="18"/>
              </w:rPr>
              <w:t>ations but language and religion have important geographic differences. Most migrants learn the language of the new location but they typically retain their religion.</w:t>
            </w:r>
          </w:p>
          <w:p w:rsidR="00000000" w:rsidRPr="00FE0034" w:rsidRDefault="009C4C89" w:rsidP="00FE003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Most religions require ex</w:t>
            </w:r>
            <w:r w:rsidRPr="00FE0034">
              <w:rPr>
                <w:sz w:val="18"/>
                <w:szCs w:val="18"/>
              </w:rPr>
              <w:t xml:space="preserve">clusive adherence so adopting a new religion could require turning away from the former one. </w:t>
            </w:r>
          </w:p>
          <w:p w:rsidR="00000000" w:rsidRPr="00FE0034" w:rsidRDefault="009C4C89" w:rsidP="00FE0034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Introducing Religions </w:t>
            </w:r>
          </w:p>
          <w:p w:rsidR="00FE0034" w:rsidRPr="00FE0034" w:rsidRDefault="00FE0034" w:rsidP="00FE0034">
            <w:p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  <w:u w:val="single"/>
              </w:rPr>
              <w:t xml:space="preserve">Religion; Hard to Measure </w:t>
            </w:r>
          </w:p>
          <w:p w:rsidR="00000000" w:rsidRPr="00FE0034" w:rsidRDefault="009C4C89" w:rsidP="00FE003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No official count of religious membership is taken in the US or in many other nations. </w:t>
            </w:r>
          </w:p>
          <w:p w:rsidR="00000000" w:rsidRPr="00FE0034" w:rsidRDefault="009C4C89" w:rsidP="00FE003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China conducted a censu</w:t>
            </w:r>
            <w:r w:rsidRPr="00FE0034">
              <w:rPr>
                <w:sz w:val="18"/>
                <w:szCs w:val="18"/>
              </w:rPr>
              <w:t xml:space="preserve">s of religion in 2007 but gave respondents only five choices and excluded several possibilities. </w:t>
            </w:r>
          </w:p>
          <w:p w:rsidR="00000000" w:rsidRPr="00FE0034" w:rsidRDefault="009C4C89" w:rsidP="00FE003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Statistics on the number of followers of religions can be controversial.</w:t>
            </w:r>
          </w:p>
          <w:p w:rsidR="00000000" w:rsidRPr="00FE0034" w:rsidRDefault="009C4C89" w:rsidP="00FE003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Adherents may feel that their religion has been undercounted.</w:t>
            </w:r>
          </w:p>
          <w:p w:rsidR="00000000" w:rsidRPr="00FE0034" w:rsidRDefault="009C4C89" w:rsidP="00FE003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Surveys have limited options</w:t>
            </w:r>
          </w:p>
          <w:p w:rsidR="00000000" w:rsidRPr="00FE0034" w:rsidRDefault="009C4C89" w:rsidP="00FE003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Fear of intolerance</w:t>
            </w:r>
          </w:p>
          <w:p w:rsidR="00000000" w:rsidRPr="00FE0034" w:rsidRDefault="009C4C89" w:rsidP="00FE003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No distinction between an </w:t>
            </w:r>
            <w:r w:rsidR="00FE0034" w:rsidRPr="00FE0034">
              <w:rPr>
                <w:sz w:val="18"/>
                <w:szCs w:val="18"/>
              </w:rPr>
              <w:t>individual’s</w:t>
            </w:r>
            <w:r w:rsidRPr="00FE0034">
              <w:rPr>
                <w:sz w:val="18"/>
                <w:szCs w:val="18"/>
              </w:rPr>
              <w:t xml:space="preserve"> participation or identification </w:t>
            </w:r>
          </w:p>
          <w:p w:rsidR="00000000" w:rsidRPr="00FE0034" w:rsidRDefault="009C4C89" w:rsidP="00FE0034">
            <w:pPr>
              <w:rPr>
                <w:b/>
                <w:sz w:val="18"/>
                <w:szCs w:val="18"/>
                <w:u w:val="single"/>
              </w:rPr>
            </w:pPr>
            <w:r w:rsidRPr="00FE0034">
              <w:rPr>
                <w:b/>
                <w:sz w:val="18"/>
                <w:szCs w:val="18"/>
                <w:u w:val="single"/>
              </w:rPr>
              <w:t xml:space="preserve">Religious groupings </w:t>
            </w:r>
          </w:p>
          <w:p w:rsidR="00000000" w:rsidRPr="00FE0034" w:rsidRDefault="009C4C89" w:rsidP="00FE003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The world’s religions can be grouped as followed; </w:t>
            </w:r>
          </w:p>
          <w:p w:rsidR="00000000" w:rsidRPr="00FE0034" w:rsidRDefault="009C4C89" w:rsidP="00FE003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Four Largest Religions: </w:t>
            </w:r>
            <w:r w:rsidRPr="00FE0034">
              <w:rPr>
                <w:sz w:val="18"/>
                <w:szCs w:val="18"/>
              </w:rPr>
              <w:t xml:space="preserve">77% of the world’s people claim the adherence of either Christianity, Islam, Hinduism </w:t>
            </w:r>
            <w:proofErr w:type="gramStart"/>
            <w:r w:rsidRPr="00FE0034">
              <w:rPr>
                <w:sz w:val="18"/>
                <w:szCs w:val="18"/>
              </w:rPr>
              <w:t>and</w:t>
            </w:r>
            <w:proofErr w:type="gramEnd"/>
            <w:r w:rsidRPr="00FE0034">
              <w:rPr>
                <w:sz w:val="18"/>
                <w:szCs w:val="18"/>
              </w:rPr>
              <w:t xml:space="preserve"> Buddhism. 2.2 Billion Christians, 1.6 Billion Muslims, 1 Billion as Hindu and 500 million Buddhist. </w:t>
            </w:r>
          </w:p>
          <w:p w:rsidR="00000000" w:rsidRPr="00FE0034" w:rsidRDefault="009C4C89" w:rsidP="00FE003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Folk Religion: </w:t>
            </w:r>
            <w:r w:rsidRPr="00FE0034">
              <w:rPr>
                <w:sz w:val="18"/>
                <w:szCs w:val="18"/>
              </w:rPr>
              <w:t xml:space="preserve">6% of the of the world’s population claim adherence to Folk Religion. Chinese traditional, primal-indigenous and African traditional.  </w:t>
            </w:r>
          </w:p>
          <w:p w:rsidR="00000000" w:rsidRPr="00FE0034" w:rsidRDefault="009C4C89" w:rsidP="00FE003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Other Religions: </w:t>
            </w:r>
            <w:r w:rsidRPr="00FE0034">
              <w:rPr>
                <w:sz w:val="18"/>
                <w:szCs w:val="18"/>
              </w:rPr>
              <w:t xml:space="preserve">1% include the following; </w:t>
            </w:r>
            <w:proofErr w:type="spellStart"/>
            <w:r w:rsidRPr="00FE0034">
              <w:rPr>
                <w:sz w:val="18"/>
                <w:szCs w:val="18"/>
              </w:rPr>
              <w:t>Juchte</w:t>
            </w:r>
            <w:proofErr w:type="spellEnd"/>
            <w:r w:rsidRPr="00FE0034">
              <w:rPr>
                <w:sz w:val="18"/>
                <w:szCs w:val="18"/>
              </w:rPr>
              <w:t xml:space="preserve">, Judaism, Sikhism, Baha, Cao Dai, Jainism, Shinto and Tenrikyo. 1 to 10 million adherents. </w:t>
            </w:r>
          </w:p>
          <w:p w:rsidR="00000000" w:rsidRPr="00FE0034" w:rsidRDefault="009C4C89" w:rsidP="00FE0034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Unaffiliated: </w:t>
            </w:r>
            <w:r w:rsidRPr="00FE0034">
              <w:rPr>
                <w:sz w:val="18"/>
                <w:szCs w:val="18"/>
              </w:rPr>
              <w:t>16% of the world’s population are unaffiliated with religion. Most people in this category affirm neither belief nor lack of belief in God or some higher pow</w:t>
            </w:r>
            <w:r w:rsidRPr="00FE0034">
              <w:rPr>
                <w:sz w:val="18"/>
                <w:szCs w:val="18"/>
              </w:rPr>
              <w:t xml:space="preserve">er. </w:t>
            </w:r>
          </w:p>
          <w:p w:rsidR="00FE0034" w:rsidRPr="00FE0034" w:rsidRDefault="00FE0034" w:rsidP="00FE003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  <w:p w:rsidR="00000000" w:rsidRPr="00FE0034" w:rsidRDefault="009C4C89" w:rsidP="00FE0034">
            <w:pPr>
              <w:rPr>
                <w:b/>
                <w:sz w:val="18"/>
                <w:szCs w:val="18"/>
                <w:u w:val="single"/>
              </w:rPr>
            </w:pPr>
            <w:r w:rsidRPr="00FE0034">
              <w:rPr>
                <w:b/>
                <w:sz w:val="18"/>
                <w:szCs w:val="18"/>
                <w:u w:val="single"/>
              </w:rPr>
              <w:t xml:space="preserve">US: Unaffiliated </w:t>
            </w:r>
          </w:p>
          <w:p w:rsidR="009C4C89" w:rsidRDefault="009C4C89" w:rsidP="00FE003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In the US many people who are classified as unaffiliated believe in God and attend a religious service at</w:t>
            </w:r>
            <w:r w:rsidRPr="00FE0034">
              <w:rPr>
                <w:sz w:val="18"/>
                <w:szCs w:val="18"/>
              </w:rPr>
              <w:t xml:space="preserve"> least on occasion, but they do not have a formal association with religious institutions. </w:t>
            </w:r>
          </w:p>
          <w:p w:rsidR="00000000" w:rsidRPr="00FE0034" w:rsidRDefault="009C4C89" w:rsidP="00FE003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In some countries the unaffiliated express no religious interest or preference and do not participate in any organized religious activity. </w:t>
            </w:r>
          </w:p>
          <w:p w:rsidR="00000000" w:rsidRPr="00FE0034" w:rsidRDefault="009C4C89" w:rsidP="00FE003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  <w:u w:val="single"/>
              </w:rPr>
              <w:t>Atheism;</w:t>
            </w:r>
            <w:r w:rsidRPr="00FE0034">
              <w:rPr>
                <w:sz w:val="18"/>
                <w:szCs w:val="18"/>
              </w:rPr>
              <w:t xml:space="preserve"> belief that God does not exist </w:t>
            </w:r>
          </w:p>
          <w:p w:rsidR="00000000" w:rsidRPr="00FE0034" w:rsidRDefault="009C4C89" w:rsidP="00FE003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  <w:u w:val="single"/>
              </w:rPr>
              <w:t>Agnosticism</w:t>
            </w:r>
            <w:r w:rsidRPr="00FE0034">
              <w:rPr>
                <w:sz w:val="18"/>
                <w:szCs w:val="18"/>
              </w:rPr>
              <w:t>; belief that the existence of God can’t be proven empirically. (means of observation or experience rather than theory or pure logic)</w:t>
            </w:r>
          </w:p>
          <w:p w:rsidR="00000000" w:rsidRPr="00FE0034" w:rsidRDefault="009C4C89" w:rsidP="00FE0034">
            <w:pPr>
              <w:rPr>
                <w:b/>
                <w:sz w:val="18"/>
                <w:szCs w:val="18"/>
                <w:u w:val="single"/>
              </w:rPr>
            </w:pPr>
            <w:r w:rsidRPr="00FE0034">
              <w:rPr>
                <w:sz w:val="18"/>
                <w:szCs w:val="18"/>
              </w:rPr>
              <w:br/>
            </w:r>
            <w:r w:rsidRPr="00FE0034">
              <w:rPr>
                <w:b/>
                <w:sz w:val="18"/>
                <w:szCs w:val="18"/>
                <w:u w:val="single"/>
              </w:rPr>
              <w:t>Classifying Religions</w:t>
            </w:r>
          </w:p>
          <w:p w:rsidR="00000000" w:rsidRPr="00FE0034" w:rsidRDefault="009C4C89" w:rsidP="00FE0034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Geographers distinguish between two types of religions.</w:t>
            </w:r>
          </w:p>
          <w:p w:rsidR="00000000" w:rsidRPr="00FE0034" w:rsidRDefault="00FE0034" w:rsidP="00FE003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Universalizing Religion</w:t>
            </w:r>
            <w:r w:rsidR="009C4C89" w:rsidRPr="00FE0034">
              <w:rPr>
                <w:sz w:val="18"/>
                <w:szCs w:val="18"/>
                <w:u w:val="single"/>
              </w:rPr>
              <w:t>s</w:t>
            </w:r>
            <w:r w:rsidR="009C4C89" w:rsidRPr="00FE0034">
              <w:rPr>
                <w:sz w:val="18"/>
                <w:szCs w:val="18"/>
              </w:rPr>
              <w:t xml:space="preserve">: </w:t>
            </w:r>
            <w:r w:rsidR="009C4C89" w:rsidRPr="00FE0034">
              <w:rPr>
                <w:sz w:val="18"/>
                <w:szCs w:val="18"/>
              </w:rPr>
              <w:t xml:space="preserve">attempt to be global to appeal to all people, wherever they may live in the world. </w:t>
            </w:r>
          </w:p>
          <w:p w:rsidR="00000000" w:rsidRPr="00FE0034" w:rsidRDefault="00FE0034" w:rsidP="00FE0034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lastRenderedPageBreak/>
              <w:t>Ethnic Religion</w:t>
            </w:r>
            <w:r w:rsidR="009C4C89" w:rsidRPr="00FE0034">
              <w:rPr>
                <w:sz w:val="18"/>
                <w:szCs w:val="18"/>
                <w:u w:val="single"/>
              </w:rPr>
              <w:t>s</w:t>
            </w:r>
            <w:r w:rsidR="009C4C89" w:rsidRPr="00FE0034">
              <w:rPr>
                <w:sz w:val="18"/>
                <w:szCs w:val="18"/>
              </w:rPr>
              <w:t>:</w:t>
            </w:r>
            <w:r w:rsidR="009C4C89" w:rsidRPr="00FE0034">
              <w:rPr>
                <w:sz w:val="18"/>
                <w:szCs w:val="18"/>
              </w:rPr>
              <w:t xml:space="preserve"> appeal primarily to one group of people living in one place.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Both these ty</w:t>
            </w:r>
            <w:r w:rsidRPr="00FE0034">
              <w:rPr>
                <w:sz w:val="18"/>
                <w:szCs w:val="18"/>
              </w:rPr>
              <w:t xml:space="preserve">pes of religions help geographers understand the different spatial characteristics, origin, diffusion and distribution of religion.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Not absolute because most religions display both universali</w:t>
            </w:r>
            <w:r w:rsidRPr="00FE0034">
              <w:rPr>
                <w:sz w:val="18"/>
                <w:szCs w:val="18"/>
              </w:rPr>
              <w:t xml:space="preserve">zing and ethnic elements.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Christianity, Islam, and Buddhism are considered universalizing whereas Hinduism and folk religions are considered ethnic. 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Making it difficult to classify </w:t>
            </w:r>
            <w:r w:rsidR="00FE0034" w:rsidRPr="00FE0034">
              <w:rPr>
                <w:sz w:val="18"/>
                <w:szCs w:val="18"/>
              </w:rPr>
              <w:t>religions</w:t>
            </w:r>
            <w:r w:rsidRPr="00FE0034">
              <w:rPr>
                <w:sz w:val="18"/>
                <w:szCs w:val="18"/>
              </w:rPr>
              <w:t xml:space="preserve">. </w:t>
            </w:r>
          </w:p>
          <w:p w:rsidR="00000000" w:rsidRPr="00FE0034" w:rsidRDefault="009C4C89" w:rsidP="00FE0034">
            <w:pPr>
              <w:rPr>
                <w:b/>
                <w:sz w:val="18"/>
                <w:szCs w:val="18"/>
                <w:u w:val="single"/>
              </w:rPr>
            </w:pPr>
            <w:r w:rsidRPr="00FE0034">
              <w:rPr>
                <w:b/>
                <w:sz w:val="18"/>
                <w:szCs w:val="18"/>
                <w:u w:val="single"/>
              </w:rPr>
              <w:t>Global Distribution of Religions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Christianity is the most widely practiced religion in every country of the Western Hemisphere and in most  countries of Europe and Sub-Saharan Africa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Islam is the most widely pra</w:t>
            </w:r>
            <w:r w:rsidRPr="00FE0034">
              <w:rPr>
                <w:sz w:val="18"/>
                <w:szCs w:val="18"/>
              </w:rPr>
              <w:t>cticed religion in nearly every country of Southwest Asia and North Africa as well as in Central Asia.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Asia also has countries where the most widely practiced religion is Buddhism or Hinduism.</w:t>
            </w:r>
            <w:r w:rsidRPr="00FE0034">
              <w:rPr>
                <w:sz w:val="18"/>
                <w:szCs w:val="18"/>
              </w:rPr>
              <w:t xml:space="preserve"> </w:t>
            </w:r>
          </w:p>
          <w:p w:rsidR="00000000" w:rsidRPr="00FE0034" w:rsidRDefault="009C4C89" w:rsidP="00FE0034">
            <w:pPr>
              <w:rPr>
                <w:b/>
                <w:sz w:val="18"/>
                <w:szCs w:val="18"/>
                <w:u w:val="single"/>
              </w:rPr>
            </w:pPr>
            <w:r w:rsidRPr="00FE0034">
              <w:rPr>
                <w:b/>
                <w:sz w:val="18"/>
                <w:szCs w:val="18"/>
                <w:u w:val="single"/>
              </w:rPr>
              <w:t xml:space="preserve">Statistics: Diversity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90 percent of Latin Americans and more than 75 percent of Europeans and North Americans identify themse</w:t>
            </w:r>
            <w:r w:rsidRPr="00FE0034">
              <w:rPr>
                <w:sz w:val="18"/>
                <w:szCs w:val="18"/>
              </w:rPr>
              <w:t xml:space="preserve">lves as adhering to Christianity.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Muslims comprise of 90 percent of the populations of Central Asia and North Africa.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East Asia</w:t>
            </w:r>
            <w:r w:rsidRPr="00FE0034">
              <w:rPr>
                <w:sz w:val="18"/>
                <w:szCs w:val="18"/>
              </w:rPr>
              <w:t xml:space="preserve">; more than half of the people are unaffiliated with any religion. Most of the other half are divided between Buddhism and folk religion.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South Asia 2/3 of the people are Hindus and 1/3 Musli</w:t>
            </w:r>
            <w:r w:rsidRPr="00FE0034">
              <w:rPr>
                <w:sz w:val="18"/>
                <w:szCs w:val="18"/>
              </w:rPr>
              <w:t>ms. India 80% Hindu, Bangladesh and Pakistan 90% Muslim.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 xml:space="preserve">Southeast Asia, 40% Muslims, 24% Buddhists, 21% Christians, </w:t>
            </w:r>
          </w:p>
          <w:p w:rsidR="00000000" w:rsidRPr="00FE0034" w:rsidRDefault="009C4C89" w:rsidP="00FE0034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E0034">
              <w:rPr>
                <w:sz w:val="18"/>
                <w:szCs w:val="18"/>
              </w:rPr>
              <w:t>Sub-Sahara</w:t>
            </w:r>
            <w:r w:rsidRPr="00FE0034">
              <w:rPr>
                <w:sz w:val="18"/>
                <w:szCs w:val="18"/>
              </w:rPr>
              <w:t xml:space="preserve">n Africa; 2/3 Christians, and 1/3 Muslims. </w:t>
            </w:r>
          </w:p>
          <w:p w:rsidR="00FE0034" w:rsidRDefault="00FE0034"/>
        </w:tc>
      </w:tr>
      <w:tr w:rsidR="00FE0034" w:rsidTr="00FE0034">
        <w:tc>
          <w:tcPr>
            <w:tcW w:w="5850" w:type="dxa"/>
          </w:tcPr>
          <w:p w:rsidR="00FE0034" w:rsidRDefault="00FE0034">
            <w:r>
              <w:lastRenderedPageBreak/>
              <w:t xml:space="preserve">EQ: </w:t>
            </w:r>
            <w:r w:rsidR="009C4C89">
              <w:t xml:space="preserve">Why is religion so difficult to measure? </w:t>
            </w:r>
          </w:p>
        </w:tc>
        <w:tc>
          <w:tcPr>
            <w:tcW w:w="5670" w:type="dxa"/>
          </w:tcPr>
          <w:p w:rsidR="00FE0034" w:rsidRDefault="00FE0034">
            <w:r>
              <w:t>Summary</w:t>
            </w:r>
          </w:p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  <w:p w:rsidR="00FE0034" w:rsidRDefault="00FE0034"/>
        </w:tc>
      </w:tr>
    </w:tbl>
    <w:p w:rsidR="00827D35" w:rsidRDefault="009C4C89"/>
    <w:sectPr w:rsidR="00827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C70FE"/>
    <w:multiLevelType w:val="hybridMultilevel"/>
    <w:tmpl w:val="239EB1F6"/>
    <w:lvl w:ilvl="0" w:tplc="A5B6D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CA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022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D21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2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8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E6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44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2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EB7614"/>
    <w:multiLevelType w:val="hybridMultilevel"/>
    <w:tmpl w:val="58E84446"/>
    <w:lvl w:ilvl="0" w:tplc="A3D6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14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CA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20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05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FE6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2B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82C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28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CC0149"/>
    <w:multiLevelType w:val="hybridMultilevel"/>
    <w:tmpl w:val="161A3E36"/>
    <w:lvl w:ilvl="0" w:tplc="0C7A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4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47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A8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4A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124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EC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8B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62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BE6CB0"/>
    <w:multiLevelType w:val="hybridMultilevel"/>
    <w:tmpl w:val="CDEA0D64"/>
    <w:lvl w:ilvl="0" w:tplc="00B8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FC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C8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C5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C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2C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E0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0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3EB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73492B"/>
    <w:multiLevelType w:val="hybridMultilevel"/>
    <w:tmpl w:val="755CB648"/>
    <w:lvl w:ilvl="0" w:tplc="76D66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6A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6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6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8B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7E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AF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9E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581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F166B4"/>
    <w:multiLevelType w:val="hybridMultilevel"/>
    <w:tmpl w:val="C05898F0"/>
    <w:lvl w:ilvl="0" w:tplc="BB9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85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21A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8F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4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2C6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CA4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FA4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5E4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60D27"/>
    <w:multiLevelType w:val="hybridMultilevel"/>
    <w:tmpl w:val="8012C184"/>
    <w:lvl w:ilvl="0" w:tplc="8F38E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CE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9A6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83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29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8A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0C1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E0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844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C17570"/>
    <w:multiLevelType w:val="hybridMultilevel"/>
    <w:tmpl w:val="5546EEFA"/>
    <w:lvl w:ilvl="0" w:tplc="9F10C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35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CA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29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83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708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80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6B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04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4"/>
    <w:rsid w:val="001943FA"/>
    <w:rsid w:val="00291290"/>
    <w:rsid w:val="009C4C89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6B212-CF9B-41ED-ACB1-9E2EA8D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444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73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04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92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89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63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13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67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7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540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34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01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01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447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0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66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83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915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44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4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0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492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16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7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35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68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431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300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016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560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56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41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87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94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483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65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50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25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87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Aparicio, Abraham (aaparicio@psusd.us)</dc:creator>
  <cp:keywords/>
  <dc:description/>
  <cp:lastModifiedBy>Aparicio, Abraham (aaparicio@psusd.us)</cp:lastModifiedBy>
  <cp:revision>1</cp:revision>
  <dcterms:created xsi:type="dcterms:W3CDTF">2019-02-19T18:38:00Z</dcterms:created>
  <dcterms:modified xsi:type="dcterms:W3CDTF">2019-02-19T18:52:00Z</dcterms:modified>
</cp:coreProperties>
</file>